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E462C4">
        <w:rPr>
          <w:rFonts w:hint="eastAsia"/>
          <w:sz w:val="36"/>
          <w:szCs w:val="36"/>
        </w:rPr>
        <w:t>9</w:t>
      </w:r>
      <w:r w:rsidR="000D6C7C">
        <w:rPr>
          <w:rFonts w:hint="eastAsia"/>
          <w:sz w:val="36"/>
          <w:szCs w:val="36"/>
        </w:rPr>
        <w:t>年度関西学生</w:t>
      </w:r>
      <w:r w:rsidR="00D169DF">
        <w:rPr>
          <w:rFonts w:hint="eastAsia"/>
          <w:sz w:val="36"/>
          <w:szCs w:val="36"/>
        </w:rPr>
        <w:t>女子</w:t>
      </w:r>
      <w:r w:rsidR="00E462C4">
        <w:rPr>
          <w:rFonts w:hint="eastAsia"/>
          <w:sz w:val="36"/>
          <w:szCs w:val="36"/>
        </w:rPr>
        <w:t>5</w:t>
      </w:r>
      <w:r w:rsidR="0018287D">
        <w:rPr>
          <w:rFonts w:hint="eastAsia"/>
          <w:sz w:val="36"/>
          <w:szCs w:val="36"/>
        </w:rPr>
        <w:t>月</w:t>
      </w:r>
      <w:r w:rsidR="000D6C7C">
        <w:rPr>
          <w:rFonts w:hint="eastAsia"/>
          <w:sz w:val="36"/>
          <w:szCs w:val="36"/>
        </w:rPr>
        <w:t>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E462C4">
        <w:rPr>
          <w:rFonts w:hint="eastAsia"/>
          <w:szCs w:val="21"/>
        </w:rPr>
        <w:t>29</w:t>
      </w:r>
      <w:r w:rsidR="000D6C7C">
        <w:rPr>
          <w:rFonts w:hint="eastAsia"/>
          <w:szCs w:val="21"/>
        </w:rPr>
        <w:t>年</w:t>
      </w:r>
      <w:r w:rsidR="00E462C4">
        <w:rPr>
          <w:rFonts w:hint="eastAsia"/>
          <w:szCs w:val="21"/>
        </w:rPr>
        <w:t>5</w:t>
      </w:r>
      <w:r>
        <w:rPr>
          <w:rFonts w:hint="eastAsia"/>
          <w:szCs w:val="21"/>
        </w:rPr>
        <w:t>月</w:t>
      </w:r>
      <w:r w:rsidR="00E462C4">
        <w:rPr>
          <w:rFonts w:hint="eastAsia"/>
          <w:szCs w:val="21"/>
        </w:rPr>
        <w:t>23</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D169DF">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E462C4">
        <w:rPr>
          <w:rFonts w:hint="eastAsia"/>
          <w:szCs w:val="21"/>
        </w:rPr>
        <w:t>9</w:t>
      </w:r>
      <w:r>
        <w:rPr>
          <w:rFonts w:hint="eastAsia"/>
          <w:szCs w:val="21"/>
        </w:rPr>
        <w:t>年</w:t>
      </w:r>
      <w:r w:rsidR="003F2255">
        <w:rPr>
          <w:rFonts w:hint="eastAsia"/>
          <w:szCs w:val="21"/>
        </w:rPr>
        <w:t xml:space="preserve">　</w:t>
      </w:r>
      <w:r w:rsidR="00E462C4">
        <w:rPr>
          <w:rFonts w:hint="eastAsia"/>
          <w:szCs w:val="21"/>
        </w:rPr>
        <w:t>5</w:t>
      </w:r>
      <w:r>
        <w:rPr>
          <w:rFonts w:hint="eastAsia"/>
          <w:szCs w:val="21"/>
        </w:rPr>
        <w:t>月</w:t>
      </w:r>
      <w:r w:rsidR="00FA61B9">
        <w:rPr>
          <w:rFonts w:hint="eastAsia"/>
          <w:szCs w:val="21"/>
        </w:rPr>
        <w:t>13</w:t>
      </w:r>
      <w:r w:rsidR="000D6C7C">
        <w:rPr>
          <w:rFonts w:hint="eastAsia"/>
          <w:szCs w:val="21"/>
        </w:rPr>
        <w:t>日（土</w:t>
      </w:r>
      <w:r>
        <w:rPr>
          <w:rFonts w:hint="eastAsia"/>
          <w:szCs w:val="21"/>
        </w:rPr>
        <w:t>）</w:t>
      </w:r>
      <w:r w:rsidR="00E462C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E462C4" w:rsidP="003F2255">
            <w:pPr>
              <w:pStyle w:val="a3"/>
              <w:ind w:leftChars="0" w:left="0" w:firstLineChars="100" w:firstLine="210"/>
              <w:jc w:val="left"/>
              <w:rPr>
                <w:szCs w:val="21"/>
              </w:rPr>
            </w:pPr>
            <w:r>
              <w:rPr>
                <w:rFonts w:hint="eastAsia"/>
                <w:szCs w:val="21"/>
              </w:rPr>
              <w:t>5</w:t>
            </w:r>
            <w:r w:rsidR="009257AF">
              <w:rPr>
                <w:rFonts w:hint="eastAsia"/>
                <w:szCs w:val="21"/>
              </w:rPr>
              <w:t>月</w:t>
            </w:r>
            <w:r w:rsidR="003F2255">
              <w:rPr>
                <w:rFonts w:hint="eastAsia"/>
                <w:szCs w:val="21"/>
              </w:rPr>
              <w:t xml:space="preserve">　</w:t>
            </w:r>
            <w:r w:rsidR="00FA61B9">
              <w:rPr>
                <w:rFonts w:hint="eastAsia"/>
                <w:szCs w:val="21"/>
              </w:rPr>
              <w:t>13</w:t>
            </w:r>
            <w:r w:rsidR="009257AF">
              <w:rPr>
                <w:rFonts w:hint="eastAsia"/>
                <w:szCs w:val="21"/>
              </w:rPr>
              <w:t>日</w:t>
            </w:r>
            <w:r>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E462C4" w:rsidP="001A6F70">
      <w:pPr>
        <w:pStyle w:val="a3"/>
        <w:numPr>
          <w:ilvl w:val="0"/>
          <w:numId w:val="12"/>
        </w:numPr>
        <w:ind w:leftChars="0"/>
        <w:jc w:val="left"/>
        <w:rPr>
          <w:szCs w:val="21"/>
        </w:rPr>
      </w:pPr>
      <w:r>
        <w:rPr>
          <w:rFonts w:hint="eastAsia"/>
          <w:szCs w:val="21"/>
        </w:rPr>
        <w:t>コース内全面禁煙</w:t>
      </w:r>
      <w:r w:rsidR="001A6F70">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rFonts w:hint="eastAsia"/>
          <w:szCs w:val="21"/>
        </w:rPr>
      </w:pPr>
      <w:r>
        <w:rPr>
          <w:rFonts w:hint="eastAsia"/>
          <w:szCs w:val="21"/>
        </w:rPr>
        <w:t>体調が悪い場合は事前に報告すること。</w:t>
      </w:r>
    </w:p>
    <w:p w:rsidR="00FA61B9" w:rsidRDefault="00FA61B9" w:rsidP="00FA61B9">
      <w:pPr>
        <w:pStyle w:val="a3"/>
        <w:numPr>
          <w:ilvl w:val="0"/>
          <w:numId w:val="12"/>
        </w:numPr>
        <w:ind w:leftChars="0"/>
        <w:jc w:val="left"/>
        <w:rPr>
          <w:rFonts w:hint="eastAsia"/>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A61B9" w:rsidRPr="00FA61B9" w:rsidRDefault="00FA61B9" w:rsidP="00FA61B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E462C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E462C4">
        <w:rPr>
          <w:rFonts w:hint="eastAsia"/>
          <w:szCs w:val="21"/>
        </w:rPr>
        <w:t>細田　尚希</w:t>
      </w:r>
      <w:r w:rsidR="00986054">
        <w:rPr>
          <w:rFonts w:hint="eastAsia"/>
          <w:szCs w:val="21"/>
        </w:rPr>
        <w:t>（大阪学院大学）</w:t>
      </w:r>
      <w:r w:rsidR="00E462C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E462C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70E43"/>
    <w:rsid w:val="0018287D"/>
    <w:rsid w:val="001A6F70"/>
    <w:rsid w:val="00243119"/>
    <w:rsid w:val="00252DF9"/>
    <w:rsid w:val="002652C5"/>
    <w:rsid w:val="00271274"/>
    <w:rsid w:val="00283125"/>
    <w:rsid w:val="002A5647"/>
    <w:rsid w:val="002E4651"/>
    <w:rsid w:val="00300225"/>
    <w:rsid w:val="0032412B"/>
    <w:rsid w:val="00353993"/>
    <w:rsid w:val="0039208E"/>
    <w:rsid w:val="00397662"/>
    <w:rsid w:val="003C2DE7"/>
    <w:rsid w:val="003E5EEB"/>
    <w:rsid w:val="003F2255"/>
    <w:rsid w:val="004943D2"/>
    <w:rsid w:val="004B6F82"/>
    <w:rsid w:val="004D3432"/>
    <w:rsid w:val="004F16C3"/>
    <w:rsid w:val="004F275F"/>
    <w:rsid w:val="005B1EE0"/>
    <w:rsid w:val="005C3FD3"/>
    <w:rsid w:val="005E205D"/>
    <w:rsid w:val="005E59AA"/>
    <w:rsid w:val="005F5695"/>
    <w:rsid w:val="00617119"/>
    <w:rsid w:val="006533A4"/>
    <w:rsid w:val="00667235"/>
    <w:rsid w:val="00667DFF"/>
    <w:rsid w:val="006721A5"/>
    <w:rsid w:val="00677B97"/>
    <w:rsid w:val="0068345F"/>
    <w:rsid w:val="006A0C04"/>
    <w:rsid w:val="006B4C0E"/>
    <w:rsid w:val="006B5E60"/>
    <w:rsid w:val="007028B2"/>
    <w:rsid w:val="007722D8"/>
    <w:rsid w:val="007A5ACA"/>
    <w:rsid w:val="007E50AB"/>
    <w:rsid w:val="00807454"/>
    <w:rsid w:val="00814346"/>
    <w:rsid w:val="008501BD"/>
    <w:rsid w:val="00864A50"/>
    <w:rsid w:val="008E2873"/>
    <w:rsid w:val="008E6B0C"/>
    <w:rsid w:val="009257AF"/>
    <w:rsid w:val="0095291E"/>
    <w:rsid w:val="00955A42"/>
    <w:rsid w:val="00966829"/>
    <w:rsid w:val="00975AA7"/>
    <w:rsid w:val="00986054"/>
    <w:rsid w:val="009B2268"/>
    <w:rsid w:val="00A339F4"/>
    <w:rsid w:val="00A34E22"/>
    <w:rsid w:val="00A37849"/>
    <w:rsid w:val="00A641FE"/>
    <w:rsid w:val="00A8609A"/>
    <w:rsid w:val="00AB371F"/>
    <w:rsid w:val="00AF51C5"/>
    <w:rsid w:val="00B336F6"/>
    <w:rsid w:val="00B358E2"/>
    <w:rsid w:val="00B3722D"/>
    <w:rsid w:val="00B438E9"/>
    <w:rsid w:val="00B508DF"/>
    <w:rsid w:val="00B75F09"/>
    <w:rsid w:val="00C218F0"/>
    <w:rsid w:val="00C25287"/>
    <w:rsid w:val="00C46901"/>
    <w:rsid w:val="00C50F4A"/>
    <w:rsid w:val="00CB701C"/>
    <w:rsid w:val="00CD10AE"/>
    <w:rsid w:val="00CD5DF7"/>
    <w:rsid w:val="00CF6091"/>
    <w:rsid w:val="00D169DF"/>
    <w:rsid w:val="00D44E48"/>
    <w:rsid w:val="00D70572"/>
    <w:rsid w:val="00D767F8"/>
    <w:rsid w:val="00DA07E0"/>
    <w:rsid w:val="00DA0CF2"/>
    <w:rsid w:val="00DC10EF"/>
    <w:rsid w:val="00E22051"/>
    <w:rsid w:val="00E343C6"/>
    <w:rsid w:val="00E34A48"/>
    <w:rsid w:val="00E44328"/>
    <w:rsid w:val="00E462C4"/>
    <w:rsid w:val="00E64308"/>
    <w:rsid w:val="00E7178D"/>
    <w:rsid w:val="00E951A7"/>
    <w:rsid w:val="00EC7D1C"/>
    <w:rsid w:val="00EE0885"/>
    <w:rsid w:val="00EF5E0A"/>
    <w:rsid w:val="00F2724F"/>
    <w:rsid w:val="00F63016"/>
    <w:rsid w:val="00FA61B9"/>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4</cp:revision>
  <cp:lastPrinted>2016-02-13T07:34:00Z</cp:lastPrinted>
  <dcterms:created xsi:type="dcterms:W3CDTF">2016-05-07T05:42:00Z</dcterms:created>
  <dcterms:modified xsi:type="dcterms:W3CDTF">2017-03-18T06:16:00Z</dcterms:modified>
</cp:coreProperties>
</file>